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ind w:right="630" w:rightChars="300"/>
        <w:jc w:val="left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bookmarkEnd w:id="0"/>
    <w:p>
      <w:pPr>
        <w:snapToGrid w:val="0"/>
        <w:spacing w:line="560" w:lineRule="exact"/>
        <w:ind w:right="630" w:rightChars="300"/>
        <w:jc w:val="center"/>
        <w:outlineLvl w:val="0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 xml:space="preserve"> 2022年</w:t>
      </w:r>
      <w:r>
        <w:rPr>
          <w:rFonts w:hint="eastAsia" w:ascii="Times New Roman" w:hAnsi="Times New Roman" w:eastAsia="方正小标宋简体" w:cs="方正小标宋_GBK"/>
          <w:spacing w:val="-11"/>
          <w:sz w:val="44"/>
          <w:szCs w:val="44"/>
        </w:rPr>
        <w:t>宜昌高新区（自贸片区）管委会</w:t>
      </w:r>
      <w:r>
        <w:rPr>
          <w:rFonts w:hint="eastAsia" w:ascii="方正小标宋简体" w:hAnsi="宋体" w:eastAsia="方正小标宋简体"/>
          <w:sz w:val="44"/>
          <w:szCs w:val="44"/>
        </w:rPr>
        <w:t>急需紧缺人才引进岗位表</w:t>
      </w:r>
    </w:p>
    <w:p>
      <w:pPr>
        <w:pStyle w:val="2"/>
        <w:rPr>
          <w:rFonts w:hint="eastAsia"/>
        </w:rPr>
      </w:pPr>
    </w:p>
    <w:tbl>
      <w:tblPr>
        <w:tblStyle w:val="3"/>
        <w:tblW w:w="15435" w:type="dxa"/>
        <w:jc w:val="center"/>
        <w:tblLayout w:type="fixed"/>
        <w:tblCellMar>
          <w:top w:w="15" w:type="dxa"/>
          <w:left w:w="28" w:type="dxa"/>
          <w:bottom w:w="15" w:type="dxa"/>
          <w:right w:w="28" w:type="dxa"/>
        </w:tblCellMar>
      </w:tblPr>
      <w:tblGrid>
        <w:gridCol w:w="547"/>
        <w:gridCol w:w="757"/>
        <w:gridCol w:w="722"/>
        <w:gridCol w:w="1200"/>
        <w:gridCol w:w="1530"/>
        <w:gridCol w:w="682"/>
        <w:gridCol w:w="1638"/>
        <w:gridCol w:w="2705"/>
        <w:gridCol w:w="2280"/>
        <w:gridCol w:w="1440"/>
        <w:gridCol w:w="1934"/>
      </w:tblGrid>
      <w:tr>
        <w:tblPrEx>
          <w:tblCellMar>
            <w:top w:w="15" w:type="dxa"/>
            <w:left w:w="28" w:type="dxa"/>
            <w:bottom w:w="15" w:type="dxa"/>
            <w:right w:w="28" w:type="dxa"/>
          </w:tblCellMar>
        </w:tblPrEx>
        <w:trPr>
          <w:trHeight w:val="465" w:hRule="atLeast"/>
          <w:jc w:val="center"/>
        </w:trPr>
        <w:tc>
          <w:tcPr>
            <w:tcW w:w="54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黑体_GBK"/>
                <w:kern w:val="0"/>
                <w:szCs w:val="21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</w:rPr>
              <w:t>序号</w:t>
            </w:r>
          </w:p>
        </w:tc>
        <w:tc>
          <w:tcPr>
            <w:tcW w:w="1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黑体_GBK"/>
                <w:kern w:val="0"/>
                <w:szCs w:val="21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</w:rPr>
              <w:t>引才单位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黑体_GBK"/>
                <w:kern w:val="0"/>
                <w:szCs w:val="21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</w:rPr>
              <w:t>引才岗位</w:t>
            </w:r>
          </w:p>
        </w:tc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黑体_GBK"/>
                <w:kern w:val="0"/>
                <w:szCs w:val="21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</w:rPr>
              <w:t>岗位职责描述</w:t>
            </w:r>
          </w:p>
        </w:tc>
        <w:tc>
          <w:tcPr>
            <w:tcW w:w="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黑体_GBK"/>
                <w:kern w:val="0"/>
                <w:szCs w:val="21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</w:rPr>
              <w:t>需求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黑体_GBK"/>
                <w:kern w:val="0"/>
                <w:szCs w:val="21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</w:rPr>
              <w:t>人数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黑体_GBK"/>
                <w:kern w:val="0"/>
                <w:szCs w:val="21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</w:rPr>
              <w:t>（名）</w:t>
            </w:r>
          </w:p>
        </w:tc>
        <w:tc>
          <w:tcPr>
            <w:tcW w:w="1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黑体_GBK"/>
                <w:kern w:val="0"/>
                <w:szCs w:val="21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</w:rPr>
              <w:t>专业要求</w:t>
            </w:r>
          </w:p>
        </w:tc>
        <w:tc>
          <w:tcPr>
            <w:tcW w:w="2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黑体_GBK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</w:rPr>
              <w:t>学历</w:t>
            </w:r>
            <w:r>
              <w:rPr>
                <w:rFonts w:hint="eastAsia" w:ascii="Times New Roman" w:hAnsi="Times New Roman" w:eastAsia="方正黑体_GBK"/>
                <w:kern w:val="0"/>
                <w:szCs w:val="21"/>
                <w:lang w:eastAsia="zh-CN"/>
              </w:rPr>
              <w:t>及其他</w:t>
            </w:r>
            <w:r>
              <w:rPr>
                <w:rFonts w:hint="eastAsia" w:ascii="Times New Roman" w:hAnsi="Times New Roman" w:eastAsia="方正黑体_GBK"/>
                <w:kern w:val="0"/>
                <w:szCs w:val="21"/>
                <w:lang w:val="en-US" w:eastAsia="zh-CN"/>
              </w:rPr>
              <w:t>要求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黑体_GBK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黑体_GBK"/>
                <w:kern w:val="0"/>
                <w:szCs w:val="21"/>
                <w:lang w:eastAsia="zh-CN"/>
              </w:rPr>
              <w:t>备注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黑体_GBK"/>
                <w:kern w:val="0"/>
                <w:szCs w:val="21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</w:rPr>
              <w:t>引才层次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黑体_GBK"/>
                <w:kern w:val="0"/>
                <w:szCs w:val="21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</w:rPr>
              <w:t>（高层次或急需紧缺）</w:t>
            </w:r>
          </w:p>
        </w:tc>
        <w:tc>
          <w:tcPr>
            <w:tcW w:w="19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黑体_GBK"/>
                <w:spacing w:val="-10"/>
                <w:kern w:val="0"/>
                <w:szCs w:val="21"/>
              </w:rPr>
            </w:pPr>
            <w:r>
              <w:rPr>
                <w:rFonts w:ascii="Times New Roman" w:hAnsi="Times New Roman" w:eastAsia="方正黑体_GBK"/>
                <w:spacing w:val="-10"/>
                <w:kern w:val="0"/>
                <w:szCs w:val="21"/>
              </w:rPr>
              <w:t>联系方式（联系人、联系电话及邮箱）</w:t>
            </w:r>
          </w:p>
        </w:tc>
      </w:tr>
      <w:tr>
        <w:tblPrEx>
          <w:tblCellMar>
            <w:top w:w="15" w:type="dxa"/>
            <w:left w:w="28" w:type="dxa"/>
            <w:bottom w:w="15" w:type="dxa"/>
            <w:right w:w="28" w:type="dxa"/>
          </w:tblCellMar>
        </w:tblPrEx>
        <w:trPr>
          <w:trHeight w:val="707" w:hRule="atLeast"/>
          <w:jc w:val="center"/>
        </w:trPr>
        <w:tc>
          <w:tcPr>
            <w:tcW w:w="547" w:type="dxa"/>
            <w:vMerge w:val="continue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黑体_GBK"/>
                <w:kern w:val="0"/>
                <w:sz w:val="24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黑体_GBK"/>
                <w:kern w:val="0"/>
                <w:szCs w:val="21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</w:rPr>
              <w:t>主管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黑体_GBK"/>
                <w:kern w:val="0"/>
                <w:szCs w:val="21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</w:rPr>
              <w:t>部门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黑体_GBK"/>
                <w:kern w:val="0"/>
                <w:szCs w:val="21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</w:rPr>
              <w:t>用人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黑体_GBK"/>
                <w:kern w:val="0"/>
                <w:szCs w:val="21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</w:rPr>
              <w:t>单位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黑体_GBK"/>
                <w:kern w:val="0"/>
                <w:sz w:val="24"/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黑体_GBK"/>
                <w:kern w:val="0"/>
                <w:sz w:val="24"/>
              </w:rPr>
            </w:pPr>
          </w:p>
        </w:tc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黑体_GBK"/>
                <w:kern w:val="0"/>
                <w:sz w:val="24"/>
              </w:rPr>
            </w:pPr>
          </w:p>
        </w:tc>
        <w:tc>
          <w:tcPr>
            <w:tcW w:w="1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黑体_GBK"/>
                <w:kern w:val="0"/>
                <w:sz w:val="24"/>
              </w:rPr>
            </w:pPr>
          </w:p>
        </w:tc>
        <w:tc>
          <w:tcPr>
            <w:tcW w:w="2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黑体_GBK"/>
                <w:kern w:val="0"/>
                <w:sz w:val="24"/>
              </w:rPr>
            </w:pPr>
          </w:p>
        </w:tc>
        <w:tc>
          <w:tcPr>
            <w:tcW w:w="22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黑体_GBK"/>
                <w:kern w:val="0"/>
                <w:sz w:val="24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黑体_GBK"/>
                <w:kern w:val="0"/>
                <w:sz w:val="24"/>
              </w:rPr>
            </w:pPr>
          </w:p>
        </w:tc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黑体_GBK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28" w:type="dxa"/>
            <w:bottom w:w="15" w:type="dxa"/>
            <w:right w:w="28" w:type="dxa"/>
          </w:tblCellMar>
        </w:tblPrEx>
        <w:trPr>
          <w:trHeight w:val="2626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auto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1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宜昌高新区（自贸片区）管理委员会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区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属事业单位</w:t>
            </w:r>
          </w:p>
        </w:tc>
        <w:tc>
          <w:tcPr>
            <w:tcW w:w="120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化工</w:t>
            </w:r>
            <w:r>
              <w:rPr>
                <w:rFonts w:ascii="Times New Roman" w:hAnsi="Times New Roman" w:eastAsia="仿宋_GB2312"/>
                <w:szCs w:val="21"/>
              </w:rPr>
              <w:t>安全</w:t>
            </w:r>
            <w:r>
              <w:rPr>
                <w:rFonts w:hint="eastAsia" w:ascii="Times New Roman" w:hAnsi="Times New Roman" w:eastAsia="仿宋_GB2312"/>
                <w:szCs w:val="21"/>
              </w:rPr>
              <w:t>执法监管</w:t>
            </w:r>
          </w:p>
        </w:tc>
        <w:tc>
          <w:tcPr>
            <w:tcW w:w="153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从事化工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等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行业安全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监管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等工作</w:t>
            </w:r>
          </w:p>
        </w:tc>
        <w:tc>
          <w:tcPr>
            <w:tcW w:w="682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2</w:t>
            </w:r>
          </w:p>
        </w:tc>
        <w:tc>
          <w:tcPr>
            <w:tcW w:w="1638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</w:rPr>
              <w:t>化工与制药类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</w:rPr>
              <w:t>、化学类、安全科学与工程类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仿宋_GB2312"/>
                <w:color w:val="auto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</w:rPr>
              <w:t>符合以下条件之一：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1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  <w:highlight w:val="none"/>
              </w:rPr>
              <w:t>.硕士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</w:rPr>
              <w:t>研究生</w:t>
            </w:r>
            <w:r>
              <w:rPr>
                <w:rFonts w:ascii="Times New Roman" w:hAnsi="Times New Roman" w:eastAsia="仿宋_GB2312"/>
                <w:color w:val="auto"/>
                <w:szCs w:val="21"/>
                <w:highlight w:val="none"/>
              </w:rPr>
              <w:t>，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</w:rPr>
              <w:t>1982</w:t>
            </w:r>
            <w:r>
              <w:rPr>
                <w:rFonts w:ascii="Times New Roman" w:hAnsi="Times New Roman" w:eastAsia="仿宋_GB2312"/>
                <w:color w:val="auto"/>
                <w:szCs w:val="21"/>
              </w:rPr>
              <w:t>年1月1日及以后出生；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</w:rPr>
              <w:t>2.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</w:rPr>
              <w:t>大学本科及以上学历，学士及以上学位，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</w:rPr>
              <w:t>1982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</w:rPr>
              <w:t>年1月1日及以后出生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</w:rPr>
              <w:t>，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</w:rPr>
              <w:t>有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</w:rPr>
              <w:t>3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</w:rPr>
              <w:t>年以上化工安全管理经历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</w:rPr>
              <w:t>，且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</w:rPr>
              <w:t>具有中级注册安全工程师（化工安全类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</w:rPr>
              <w:t>、其他类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</w:rPr>
              <w:t>）资格证书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</w:rPr>
              <w:t>。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  <w:lang w:val="en-US" w:eastAsia="zh-CN"/>
              </w:rPr>
              <w:t>该岗位需经常深入化工企业一线开展安全监管执法工作，参加应急救援、抢险、值班等应急管理工作。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急需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紧缺</w:t>
            </w:r>
          </w:p>
        </w:tc>
        <w:tc>
          <w:tcPr>
            <w:tcW w:w="19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李潇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15071798039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李桃依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17771719577</w:t>
            </w:r>
          </w:p>
          <w:p>
            <w:pPr>
              <w:pStyle w:val="2"/>
              <w:jc w:val="center"/>
              <w:rPr>
                <w:rFonts w:hint="eastAsia" w:ascii="Times New Roman" w:hAnsi="Times New Roman" w:eastAsia="仿宋_GB2312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kern w:val="0"/>
                <w:sz w:val="21"/>
                <w:szCs w:val="21"/>
                <w:lang w:val="en-US" w:eastAsia="zh-CN" w:bidi="ar-SA"/>
              </w:rPr>
              <w:t>0717-6330560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ycgxrc@163.com</w:t>
            </w:r>
          </w:p>
        </w:tc>
      </w:tr>
      <w:tr>
        <w:tblPrEx>
          <w:tblCellMar>
            <w:top w:w="15" w:type="dxa"/>
            <w:left w:w="28" w:type="dxa"/>
            <w:bottom w:w="15" w:type="dxa"/>
            <w:right w:w="28" w:type="dxa"/>
          </w:tblCellMar>
        </w:tblPrEx>
        <w:trPr>
          <w:trHeight w:val="2207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2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宜昌高新区（自贸片区）管理委员会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区属事业单位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安全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执法综合监管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  <w:lang w:eastAsia="zh-CN"/>
              </w:rPr>
              <w:t>重点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从事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工贸等领域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安全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监管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等工作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1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</w:rPr>
              <w:t>安全科学与工程类、机械类、自动化类、电子信息类、法学类、电气类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</w:rPr>
              <w:t>硕士研究生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</w:rPr>
              <w:t>，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</w:rPr>
              <w:t>1982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</w:rPr>
              <w:t>年1月1日及以后出生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</w:rPr>
              <w:t>。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  <w:lang w:val="en-US" w:eastAsia="zh-CN"/>
              </w:rPr>
              <w:t>该岗位需经常深入化工企业一线开展安全监管执法工作，参加应急救援、抢险、值班等应急管理工作。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急需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紧缺</w:t>
            </w:r>
          </w:p>
        </w:tc>
        <w:tc>
          <w:tcPr>
            <w:tcW w:w="19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outlineLvl w:val="9"/>
        <w:rPr>
          <w:rFonts w:hint="default" w:ascii="仿宋_GB2312" w:eastAsia="仿宋_GB2312"/>
          <w:sz w:val="32"/>
          <w:szCs w:val="32"/>
          <w:lang w:val="en-US" w:eastAsia="zh-CN"/>
        </w:rPr>
        <w:sectPr>
          <w:pgSz w:w="16838" w:h="11906" w:orient="landscape"/>
          <w:pgMar w:top="1588" w:right="2098" w:bottom="1588" w:left="1531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112D85"/>
    <w:rsid w:val="017137BD"/>
    <w:rsid w:val="0D3C2105"/>
    <w:rsid w:val="11651165"/>
    <w:rsid w:val="1C954919"/>
    <w:rsid w:val="1FD60502"/>
    <w:rsid w:val="270D4532"/>
    <w:rsid w:val="2ADC5616"/>
    <w:rsid w:val="2B3D2FBE"/>
    <w:rsid w:val="4BB751FD"/>
    <w:rsid w:val="6CC061E2"/>
    <w:rsid w:val="70112D85"/>
    <w:rsid w:val="72AC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2022-11-22T09:35:00Z</dcterms:created>
  <dc:creator> 梁艳</dc:creator>
  <cp:lastModifiedBy> 梁艳</cp:lastModifiedBy>
  <dcterms:modified xsi:type="dcterms:W3CDTF">2022-11-22T09:35:38Z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